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c"/>
        <w:tblW w:w="3509" w:type="dxa"/>
        <w:jc w:val="left"/>
        <w:tblInd w:w="6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kern w:val="0"/>
                <w:lang w:val="ru-RU" w:bidi="ar-SA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Положение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 проведении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Межрегионального фестиваля гармонистов 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имени Н.Н. Вавилова «Играй, тальянка русская!»,  посвященного 75-ой годовщине Победы в Великой Отечественной войне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1941-1945 гг.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Алтайский государственный Дом народного творчества проводит Межрегиональный фестиваль имени Н.Н. Вавилова «Играй, тальянка русская!», посвященный 75-ой годовщине Победы в Великой Отечественной войне 1941-1945 гг. Фестиваль пройдет в концертном зале Алтайской государственной академии культуры и искусств (пр. Ленина, 66). 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Общие положения</w:t>
      </w:r>
    </w:p>
    <w:p>
      <w:pPr>
        <w:pStyle w:val="Standard"/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Настоящее Положение определяет порядок организации и проведения Межрегионального фестиваля гармонистов им. Н.Н. Вавилова «Играй, тальянка русская!»,  посвященный 75-ой годовщине Победы в Великой Отечественной Войне (далее –  Фестиваль).</w:t>
      </w:r>
    </w:p>
    <w:p>
      <w:pPr>
        <w:pStyle w:val="Standard"/>
        <w:ind w:right="-5"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Руководство проведением Фестиваля возлагается на организационный комитет (далее – Оргкомитет).</w:t>
      </w:r>
    </w:p>
    <w:p>
      <w:pPr>
        <w:pStyle w:val="Standard"/>
        <w:ind w:right="-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tabs>
          <w:tab w:val="clear" w:pos="708"/>
          <w:tab w:val="left" w:pos="4035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Учредители и организаторы Фестиваля</w:t>
      </w:r>
    </w:p>
    <w:p>
      <w:pPr>
        <w:pStyle w:val="Standard"/>
        <w:tabs>
          <w:tab w:val="clear" w:pos="708"/>
          <w:tab w:val="left" w:pos="4035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Министерство культуры Алтайского края;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творчества».</w:t>
      </w:r>
    </w:p>
    <w:p>
      <w:pPr>
        <w:pStyle w:val="Standard"/>
        <w:tabs>
          <w:tab w:val="clear" w:pos="708"/>
          <w:tab w:val="left" w:pos="4035" w:leader="none"/>
        </w:tabs>
        <w:ind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Цели и задачи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Знакомство с живыми народными традициями,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популяризация народного традиционного музыкального творчества;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развитие аутентичных и современных форм исполнительства на народных инструментах; 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популяризация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исполнения на гармони традиционных локальных наигрышей;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выявление одаренных, самобытных молодых музыкантов-любителей, поддержка мастеров игры на гармони;</w:t>
      </w:r>
    </w:p>
    <w:p>
      <w:pPr>
        <w:pStyle w:val="Textbody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сохранение самобытных музыкальных инструментов;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творческой среды для обмена опытом и объединения гармонистов – участников Фестиваля;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созданного Н.Н. Вавиловым движения гармонистов;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создание нового музыкально-информационного пространства, объединяющего исполнителей и  зрителей всех возрастов.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Участники Фестиваля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Фестивале принимают участие гармонисты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-любители, профессиональные музыканты</w:t>
      </w:r>
      <w:r>
        <w:rPr>
          <w:rFonts w:cs="Times New Roman" w:ascii="Times New Roman" w:hAnsi="Times New Roman"/>
          <w:sz w:val="28"/>
          <w:szCs w:val="28"/>
          <w:lang w:val="ru-RU"/>
        </w:rPr>
        <w:t>;  мастера – изготовители инструментов; коллекционеры гармоней; творческие коллективы (вокальные, инструментальные, фольклорные, семейные); солисты – исполнители частушек, песен тематической направленности; исполнители традиционных танцев под гармонь.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не ограничен.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Солисты, ансамбли, гармонисты прослушиваются по следующим возрастным категориям: младшая – до 15 лет; средняя – 16 - 35 лет; взрослая –  36 -  55 лет; старшая – от 55 лет.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Условия и порядок проведения:</w:t>
      </w:r>
    </w:p>
    <w:p>
      <w:pPr>
        <w:pStyle w:val="Standard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Фестиваль проводится в </w:t>
      </w:r>
      <w:r>
        <w:rPr>
          <w:rFonts w:eastAsia="Times New Roman" w:cs="Times New Roman" w:ascii="Times New Roman" w:hAnsi="Times New Roman"/>
          <w:sz w:val="28"/>
          <w:szCs w:val="28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этапа.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 этап — отборочный – до 30 сентября 2020 года.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Отбор  проводится по следующим номинациям:</w:t>
      </w:r>
    </w:p>
    <w:p>
      <w:pPr>
        <w:pStyle w:val="Standard"/>
        <w:ind w:left="720" w:hanging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«Традиционная музыкальная культура»: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«Гармонист-самородок» (традиционные наигрыши на гармонике);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«Традиционный национальный танец под гармонику»;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«Эх, гармошка, чудо-встряска» (частушки, песни под гармонику).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Основные критерии оценки: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самобытность исполнения;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соответствие представляемой региональной традиции;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целостность музыкального номера;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артистичность, исполнительская культура, техника игры на гармонике и других народных инструментах;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соответствие сценического костюма  одежде представляемой традиции (для коллективов, солистов);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соответствие</w:t>
      </w:r>
      <w:r>
        <w:rPr>
          <w:rFonts w:cs="Tahoma" w:ascii="Tahoma" w:hAnsi="Tahoma"/>
          <w:color w:val="302D2D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исполнения припевок, частушек и переплясов традиции.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«За верность гармони»: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«Наигрыши» (стилизация, обработка, авторская, классическая, народная музыка);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«Родина моя» (патриотическая песня в исполнении ансамбля, солиста);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«Поющий гармонист».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Основные критерии оценки: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целостность музыкального номера;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музыкальная обработка;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>техника игры на гармонике  и других народных инструментах,  дополняющих игру на гармонике;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артистизм,</w:t>
      </w:r>
      <w:r>
        <w:rPr>
          <w:rFonts w:cs="Times New Roman" w:ascii="Times New Roman" w:hAnsi="Times New Roman"/>
          <w:color w:val="302D2D"/>
          <w:sz w:val="28"/>
          <w:szCs w:val="28"/>
          <w:lang w:val="ru-RU"/>
        </w:rPr>
        <w:t xml:space="preserve"> исполнительская культура;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сценический костюм.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Выставка  аутентичных гармоник и  инструментов-новоделов</w:t>
      </w:r>
    </w:p>
    <w:p>
      <w:pPr>
        <w:pStyle w:val="Standard"/>
        <w:ind w:firstLine="708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 выставке экспонируются старинные гармоники, а также гармоники ручной работы, сделанные мастерами. Коллекционеры могут представить имеющиеся в личной коллекции гармоники. Выставка будет располагаться в фойе концертного зала Алтайской государственной академии культуры и искусств (пр. Ленина, 66).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Участники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не позднее 30 сентября 2020 года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направляют в адрес оргкомитета Фестиваля заявку, 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видеоматериалы (2 - 3 музыкальных произведения продолжительностью 7 - 10 минут.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Допускается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использование национальных традиционных инструментов как дополняющее сопровождение); заявку и перечень музыкальных инструментов для выставки (фото); заявку на участие в проведении творческой лаборатории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по прилагаемой форме (не позднее 30 сентября 2020 года); фото коллектива, исполнителя, солиста  (для размещения на сайте АГДНТ). Заявки, присланные позднее указанного срока, не рассматриваются. Заявки, фото и видеоматериалы направляются на  электронный адрес: </w:t>
      </w:r>
      <w:hyperlink r:id="rId3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dfolklor</w:t>
        </w:r>
      </w:hyperlink>
      <w:hyperlink r:id="rId4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@</w:t>
        </w:r>
      </w:hyperlink>
      <w:hyperlink r:id="rId5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yandex</w:t>
        </w:r>
      </w:hyperlink>
      <w:hyperlink r:id="rId6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  <w:lang w:val="ru-RU"/>
          </w:rPr>
          <w:t>.</w:t>
        </w:r>
      </w:hyperlink>
      <w:hyperlink r:id="rId7">
        <w:r>
          <w:rPr>
            <w:rFonts w:eastAsia="Times New Roman" w:cs="Times New Roman" w:ascii="Times New Roman" w:hAnsi="Times New Roman"/>
            <w:b/>
            <w:color w:val="000000"/>
            <w:sz w:val="28"/>
            <w:szCs w:val="28"/>
          </w:rPr>
          <w:t>ru</w:t>
        </w:r>
      </w:hyperlink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Прошедшим во </w:t>
      </w:r>
      <w:r>
        <w:rPr>
          <w:rFonts w:cs="Times New Roman" w:ascii="Times New Roman" w:hAnsi="Times New Roman"/>
          <w:sz w:val="28"/>
          <w:szCs w:val="28"/>
        </w:rPr>
        <w:t>II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этап до 9 октября 2020 года будут направлены приглашения на участие в Фестивале.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6 ноября – заезд иногородних участников Фестиваля. Творческая лаборатория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г. Барнаул,  ул.Ползунова, 41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)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8"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этап — очный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– 7   ноября 2020 года.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Программа Фестиваля: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 Открытие Фестиваля.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Прослушивание коллективов и отдельных исполнителей. Исполнители самобытных и ярких  номеров станут участниками гала-концерта.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 народного гармониста России, входящего в золотую десятку</w:t>
      </w:r>
      <w:bookmarkStart w:id="2" w:name="_GoBack1"/>
      <w:bookmarkEnd w:id="2"/>
      <w:r>
        <w:rPr>
          <w:rFonts w:ascii="Times New Roman" w:hAnsi="Times New Roman"/>
          <w:sz w:val="28"/>
          <w:szCs w:val="28"/>
        </w:rPr>
        <w:t xml:space="preserve"> России, лауреата всероссийских и международных конкурсов Александра Юрьевича Ланина «Стили игры на 2-х рядной хроматической гармонике. Региональные исполнительские традиции». 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творческой лаборатории и мастер-классе могут принять участие все желающие.</w:t>
      </w:r>
    </w:p>
    <w:p>
      <w:pPr>
        <w:pStyle w:val="NormalWeb"/>
        <w:spacing w:lineRule="auto" w:line="276" w:beforeAutospacing="0" w:before="280" w:afterAutospacing="0" w:after="0"/>
        <w:jc w:val="center"/>
        <w:textAlignment w:val="baseline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8 ноября 2020 года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в концертном зале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Алтайской государственной академии культуры и искусств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 (г. Барнаул,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пр. Ленина, 66)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состоятся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гала-концерт и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выставка аутентичных гармоник и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инструментов-новоделов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Web"/>
        <w:spacing w:beforeAutospacing="0" w:before="280" w:afterAutospacing="0" w:after="0"/>
        <w:jc w:val="center"/>
        <w:textAlignment w:val="baseline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Экспертный совет Фестиваля</w:t>
      </w:r>
    </w:p>
    <w:p>
      <w:pPr>
        <w:pStyle w:val="NormalWeb"/>
        <w:spacing w:beforeAutospacing="0" w:before="280" w:afterAutospacing="0" w:after="0"/>
        <w:ind w:firstLine="708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Для оценки выступлений  участников  формируется экспертный совет, в который входят квалифицированные специалисты в сфере культуры и искусства Сибирского федерального округа. Экспертный совет отбирает участников во II этап,  подводит итоги Фестиваля и оставляет за собой право отбора участников на гала-концерт. 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spacing w:lineRule="auto" w:line="360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Финансовые условия 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Фестиваль проводится  за счет средств краевого бюджета.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Организационный комитет за счет средств бюджета Фестиваля оплачивает иногородним участникам проживание и завтрак, предоставляет сценическую (концертную) площадку и место для размещения выставки в соответствии с техническими параметрами.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Питание (обед, ужин),  проезд до места проведения Фестиваля и обратно, транспортировка музыкальных инструментов осуществляется за счет направляющей стороны.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Награждение участников Фестиваля</w:t>
      </w:r>
    </w:p>
    <w:p>
      <w:pPr>
        <w:pStyle w:val="Textbody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Всем участникам Фестиваля вручаются  дипломы, сувенирная продукция.</w:t>
      </w:r>
    </w:p>
    <w:p>
      <w:pPr>
        <w:pStyle w:val="Textbody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Все материалы, полученные  организаторами при проведении Фестиваля (видеозаписи), являются собственностью организаторов. Видеоматериалы, предоставленные участниками Фестиваля, могут быть опубликованы на сайте АГДНТ, использоваться в рекламных целях, при издании печатной продукции, выпуске  видеодисков без выплаты гонорара участникам  Фестиваля. Все предоставленные материалы о коллективах и солистах, исполнителях хранятся в архиве организаторов и возврату не подлежат.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Контакты организаторов Фестиваля</w:t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творчества», почтовый адрес: 656043, г. Барнаул, ул. Крупской, 97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Контактные телефоны:</w:t>
      </w:r>
    </w:p>
    <w:p>
      <w:pPr>
        <w:pStyle w:val="Standard"/>
        <w:tabs>
          <w:tab w:val="clear" w:pos="708"/>
          <w:tab w:val="left" w:pos="4035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961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236 98 80 Эйхольц Елена Николаевна;</w:t>
      </w:r>
    </w:p>
    <w:p>
      <w:pPr>
        <w:pStyle w:val="Standard"/>
        <w:tabs>
          <w:tab w:val="clear" w:pos="708"/>
          <w:tab w:val="left" w:pos="4035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913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229 58 70 Новичихина Ирина Николаевна</w:t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69c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fe5aee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814ce2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a16e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e5ae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fe5aee"/>
    <w:pPr>
      <w:spacing w:lineRule="auto" w:line="288" w:before="0" w:after="140"/>
    </w:pPr>
    <w:rPr/>
  </w:style>
  <w:style w:type="paragraph" w:styleId="NormalWeb">
    <w:name w:val="Normal (Web)"/>
    <w:basedOn w:val="Normal"/>
    <w:uiPriority w:val="99"/>
    <w:semiHidden/>
    <w:unhideWhenUsed/>
    <w:qFormat/>
    <w:rsid w:val="00814ce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fa16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a16ed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folklor@yandex.ru" TargetMode="External"/><Relationship Id="rId4" Type="http://schemas.openxmlformats.org/officeDocument/2006/relationships/hyperlink" Target="mailto:dfolklor@yandex.ru" TargetMode="External"/><Relationship Id="rId5" Type="http://schemas.openxmlformats.org/officeDocument/2006/relationships/hyperlink" Target="mailto:dfolklor@yandex.ru" TargetMode="External"/><Relationship Id="rId6" Type="http://schemas.openxmlformats.org/officeDocument/2006/relationships/hyperlink" Target="mailto:dfolklor@yandex.ru" TargetMode="External"/><Relationship Id="rId7" Type="http://schemas.openxmlformats.org/officeDocument/2006/relationships/hyperlink" Target="mailto:dfolklor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Application>LibreOffice/7.0.0.3$Windows_X86_64 LibreOffice_project/8061b3e9204bef6b321a21033174034a5e2ea88e</Application>
  <Pages>4</Pages>
  <Words>848</Words>
  <Characters>6415</Characters>
  <CharactersWithSpaces>7254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2020-01-24T03:12:00Z</dcterms:created>
  <dc:creator>bhbirf</dc:creator>
  <dc:description/>
  <dc:language>ru-RU</dc:language>
  <cp:lastModifiedBy/>
  <cp:lastPrinted>2020-09-16T12:00:00Z</cp:lastPrinted>
  <dcterms:modified xsi:type="dcterms:W3CDTF">2020-09-23T11:16:21Z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