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Утверждаю</w:t>
      </w:r>
    </w:p>
    <w:p>
      <w:pPr>
        <w:pStyle w:val="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Директор АГДНТ </w:t>
      </w:r>
    </w:p>
    <w:p>
      <w:pPr>
        <w:pStyle w:val="1"/>
        <w:jc w:val="right"/>
        <w:rPr/>
      </w:pPr>
      <w:r>
        <w:rPr>
          <w:bCs/>
          <w:sz w:val="26"/>
          <w:szCs w:val="26"/>
        </w:rPr>
        <w:t>__</w:t>
      </w:r>
      <w:r>
        <w:rPr/>
        <w:drawing>
          <wp:inline distT="0" distB="0" distL="0" distR="0">
            <wp:extent cx="636270" cy="345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3" t="-394" r="-203" b="-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>__Е.В. Карпова</w:t>
      </w:r>
    </w:p>
    <w:p>
      <w:pPr>
        <w:pStyle w:val="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«___»_____________2019 г.</w:t>
      </w:r>
    </w:p>
    <w:p>
      <w:pPr>
        <w:pStyle w:val="1"/>
        <w:rPr>
          <w:b/>
          <w:b/>
          <w:bCs/>
        </w:rPr>
      </w:pPr>
      <w:r>
        <w:rPr>
          <w:b/>
          <w:bCs/>
          <w:sz w:val="26"/>
          <w:szCs w:val="26"/>
        </w:rPr>
        <w:t>ПОЛОЖЕНИЕ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о проведении краевого конкурса развлекательно-игровых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6"/>
          <w:szCs w:val="26"/>
        </w:rPr>
        <w:t>программ для детей и подростков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«Праздник детской игры»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6"/>
          <w:szCs w:val="26"/>
        </w:rPr>
        <w:t xml:space="preserve">                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Краевое автономное учреждение «Алтайский государственный Дом народного творчества» Министерства культуры Алтайского края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в рамках  объявленного  на  2018-2027  годы  в  Российской  Федерации  Десятилетия детства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18-19 мая 2019 </w:t>
      </w:r>
      <w:r>
        <w:rPr>
          <w:rFonts w:ascii="Times New Roman" w:hAnsi="Times New Roman"/>
          <w:sz w:val="26"/>
          <w:szCs w:val="26"/>
        </w:rPr>
        <w:t xml:space="preserve">года проводит краевой конкурс </w:t>
      </w:r>
      <w:r>
        <w:rPr>
          <w:rFonts w:ascii="Times New Roman" w:hAnsi="Times New Roman"/>
          <w:color w:val="000000"/>
          <w:sz w:val="26"/>
          <w:szCs w:val="26"/>
        </w:rPr>
        <w:t>развлекательно-игровых программ для детей и подростков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«Праздник детской игры» (далее — конкурс).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>
      <w:pPr>
        <w:pStyle w:val="Style17"/>
        <w:jc w:val="center"/>
        <w:rPr>
          <w:rStyle w:val="Style13"/>
          <w:b w:val="false"/>
          <w:b w:val="false"/>
          <w:bCs w:val="false"/>
        </w:rPr>
      </w:pPr>
      <w:r>
        <w:rPr>
          <w:rStyle w:val="Style13"/>
          <w:color w:val="000000"/>
          <w:sz w:val="26"/>
          <w:szCs w:val="26"/>
        </w:rPr>
        <w:t>Цели и задачи  конкурса</w:t>
      </w:r>
    </w:p>
    <w:p>
      <w:pPr>
        <w:pStyle w:val="Normal"/>
        <w:spacing w:lineRule="auto" w:line="240" w:before="0" w:after="0"/>
        <w:ind w:firstLine="708"/>
        <w:jc w:val="both"/>
        <w:rPr>
          <w:rStyle w:val="Style13"/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Конкурс  направлен  на  повышение качества мероприятий для детей и подростков;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развитие творческого потенциала и повышение профессионального уровня специалистов игрового досуга;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выявление талантливых организаторов культурно-досуговой деятельности;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установление деловых и творческих связей между организаторами досуга;</w:t>
      </w:r>
    </w:p>
    <w:p>
      <w:pPr>
        <w:pStyle w:val="Normal"/>
        <w:spacing w:lineRule="auto" w:line="240" w:before="0" w:after="0"/>
        <w:ind w:firstLine="708"/>
        <w:jc w:val="both"/>
        <w:rPr>
          <w:rStyle w:val="Style13"/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bCs w:val="false"/>
          <w:color w:val="000000"/>
          <w:sz w:val="26"/>
          <w:szCs w:val="26"/>
        </w:rPr>
        <w:t>поиск новых форм и методик  организации игровых программ.</w:t>
      </w:r>
    </w:p>
    <w:p>
      <w:pPr>
        <w:pStyle w:val="Normal"/>
        <w:spacing w:lineRule="auto" w:line="240" w:before="0" w:after="0"/>
        <w:jc w:val="both"/>
        <w:rPr>
          <w:rStyle w:val="Style13"/>
          <w:b w:val="false"/>
          <w:b w:val="false"/>
          <w:bCs w:val="false"/>
        </w:rPr>
      </w:pPr>
      <w:r>
        <w:rPr>
          <w:rStyle w:val="Style13"/>
          <w:b w:val="false"/>
          <w:bCs w:val="false"/>
          <w:color w:val="00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17"/>
        <w:rPr>
          <w:rStyle w:val="Style13"/>
          <w:b w:val="false"/>
          <w:b w:val="false"/>
          <w:bCs w:val="false"/>
        </w:rPr>
      </w:pPr>
      <w:r>
        <w:rPr>
          <w:rStyle w:val="Style13"/>
          <w:color w:val="000000"/>
          <w:sz w:val="26"/>
          <w:szCs w:val="26"/>
        </w:rPr>
        <w:t xml:space="preserve">                                                      </w:t>
      </w:r>
      <w:r>
        <w:rPr>
          <w:rStyle w:val="Style13"/>
          <w:color w:val="000000"/>
          <w:sz w:val="26"/>
          <w:szCs w:val="26"/>
        </w:rPr>
        <w:t xml:space="preserve">Участники </w:t>
      </w:r>
      <w:r>
        <w:rPr>
          <w:b/>
          <w:bCs/>
          <w:color w:val="000000"/>
          <w:sz w:val="26"/>
          <w:szCs w:val="26"/>
        </w:rPr>
        <w:t>конкурса</w:t>
      </w:r>
    </w:p>
    <w:p>
      <w:pPr>
        <w:pStyle w:val="Style17"/>
        <w:ind w:firstLine="708"/>
        <w:jc w:val="both"/>
        <w:rPr/>
      </w:pPr>
      <w:r>
        <w:rPr>
          <w:rStyle w:val="Style13"/>
          <w:b w:val="false"/>
          <w:bCs w:val="false"/>
          <w:color w:val="000000"/>
          <w:sz w:val="26"/>
          <w:szCs w:val="26"/>
        </w:rPr>
        <w:t>В конкурсе могут принять участие ведущие  развлекательно-игровых программ – организаторы досуга детей и подростков многофункциональных культурных центров (индивидуальные исполнители).</w:t>
      </w:r>
    </w:p>
    <w:p>
      <w:pPr>
        <w:pStyle w:val="Style17"/>
        <w:rPr>
          <w:rStyle w:val="Style13"/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Style17"/>
        <w:jc w:val="center"/>
        <w:rPr/>
      </w:pPr>
      <w:r>
        <w:rPr>
          <w:rStyle w:val="Style13"/>
          <w:color w:val="000000"/>
          <w:sz w:val="26"/>
          <w:szCs w:val="26"/>
        </w:rPr>
        <w:t xml:space="preserve">Условия </w:t>
      </w:r>
      <w:r>
        <w:rPr>
          <w:b/>
          <w:bCs/>
          <w:color w:val="000000"/>
          <w:sz w:val="26"/>
          <w:szCs w:val="26"/>
        </w:rPr>
        <w:t>конкурса</w:t>
      </w:r>
    </w:p>
    <w:p>
      <w:pPr>
        <w:pStyle w:val="Style17"/>
        <w:jc w:val="both"/>
        <w:rPr>
          <w:sz w:val="26"/>
          <w:szCs w:val="26"/>
        </w:rPr>
      </w:pPr>
      <w:r>
        <w:rPr>
          <w:rStyle w:val="Style13"/>
          <w:b w:val="false"/>
          <w:bCs w:val="false"/>
          <w:color w:val="000000"/>
          <w:sz w:val="26"/>
          <w:szCs w:val="26"/>
        </w:rPr>
        <w:tab/>
        <w:t xml:space="preserve"> На конкурс представляется развлекательно-игровая программа для детей и подростков </w:t>
      </w:r>
      <w:r>
        <w:rPr>
          <w:sz w:val="26"/>
          <w:szCs w:val="26"/>
        </w:rPr>
        <w:t xml:space="preserve">продолжительностью не более 15 минут. Право выбора темы остается за участниками конкурса. </w:t>
      </w:r>
    </w:p>
    <w:p>
      <w:pPr>
        <w:pStyle w:val="Style17"/>
        <w:ind w:firstLine="708"/>
        <w:jc w:val="both"/>
        <w:rPr/>
      </w:pPr>
      <w:r>
        <w:rPr>
          <w:sz w:val="26"/>
          <w:szCs w:val="26"/>
        </w:rPr>
        <w:t xml:space="preserve">Главное – показать в программе  умение  организатора досуга  провести  игру, продемонстрировать уровень активности  и заинтересованности  участников и зрителей. Обязательно проведение игры со зрителями. </w:t>
      </w:r>
    </w:p>
    <w:p>
      <w:pPr>
        <w:pStyle w:val="Style17"/>
        <w:ind w:firstLine="708"/>
        <w:jc w:val="both"/>
        <w:rPr>
          <w:rStyle w:val="Style13"/>
          <w:b w:val="false"/>
          <w:b w:val="false"/>
          <w:bCs w:val="false"/>
          <w:color w:val="000000"/>
          <w:sz w:val="26"/>
          <w:szCs w:val="26"/>
        </w:rPr>
      </w:pPr>
      <w:r>
        <w:rPr>
          <w:rStyle w:val="Style13"/>
          <w:b w:val="false"/>
          <w:bCs w:val="false"/>
          <w:color w:val="000000"/>
          <w:sz w:val="26"/>
          <w:szCs w:val="26"/>
        </w:rPr>
        <w:t xml:space="preserve">Конкурсанты могут использовать в  программе различные формы и жанры исполнительства (вокал, хореография, театр и др.), средства выразительности (звук, реквизит, грим, костюм и др.), музыкальное и визуальное сопровождение. </w:t>
      </w:r>
    </w:p>
    <w:p>
      <w:pPr>
        <w:pStyle w:val="Style17"/>
        <w:ind w:firstLine="708"/>
        <w:jc w:val="both"/>
        <w:rPr/>
      </w:pPr>
      <w:r>
        <w:rPr>
          <w:rStyle w:val="Style13"/>
          <w:b w:val="false"/>
          <w:bCs w:val="false"/>
          <w:color w:val="000000"/>
          <w:sz w:val="26"/>
          <w:szCs w:val="26"/>
        </w:rPr>
        <w:t xml:space="preserve">Не допускаются игры с колющими, режущими предметами, продуктами питания, легковоспламеняющимися средствами и открытым огнем. </w:t>
      </w:r>
    </w:p>
    <w:p>
      <w:pPr>
        <w:pStyle w:val="Style17"/>
        <w:ind w:firstLine="708"/>
        <w:jc w:val="both"/>
        <w:rPr>
          <w:rStyle w:val="Style13"/>
          <w:b w:val="false"/>
          <w:b w:val="false"/>
          <w:bCs w:val="false"/>
          <w:color w:val="000000"/>
          <w:szCs w:val="28"/>
        </w:rPr>
      </w:pPr>
      <w:r>
        <w:rPr>
          <w:rStyle w:val="Style13"/>
          <w:b w:val="false"/>
          <w:bCs w:val="false"/>
          <w:color w:val="000000"/>
          <w:szCs w:val="28"/>
        </w:rPr>
        <w:t>Конкурсные программы оцениваются профессиональными экспертами.</w:t>
      </w:r>
    </w:p>
    <w:p>
      <w:pPr>
        <w:pStyle w:val="Style17"/>
        <w:ind w:firstLine="708"/>
        <w:jc w:val="both"/>
        <w:rPr>
          <w:rStyle w:val="Style13"/>
          <w:b w:val="false"/>
          <w:b w:val="false"/>
          <w:bCs w:val="false"/>
          <w:color w:val="000000"/>
          <w:szCs w:val="28"/>
        </w:rPr>
      </w:pPr>
      <w:r>
        <w:rPr>
          <w:b w:val="false"/>
          <w:bCs w:val="false"/>
          <w:color w:val="000000"/>
          <w:szCs w:val="28"/>
        </w:rPr>
      </w:r>
    </w:p>
    <w:p>
      <w:pPr>
        <w:pStyle w:val="Style17"/>
        <w:jc w:val="center"/>
        <w:rPr>
          <w:b/>
          <w:b/>
          <w:bCs/>
          <w:sz w:val="26"/>
          <w:szCs w:val="26"/>
        </w:rPr>
      </w:pPr>
      <w:r>
        <w:rPr>
          <w:rStyle w:val="Style13"/>
          <w:b w:val="false"/>
          <w:bCs w:val="false"/>
          <w:color w:val="000000"/>
          <w:szCs w:val="28"/>
        </w:rPr>
        <w:t xml:space="preserve"> </w:t>
      </w:r>
      <w:r>
        <w:rPr>
          <w:b/>
          <w:bCs/>
          <w:sz w:val="26"/>
          <w:szCs w:val="26"/>
        </w:rPr>
        <w:t>Порядок и сроки проведения конкурса</w:t>
      </w:r>
    </w:p>
    <w:p>
      <w:pPr>
        <w:pStyle w:val="Style17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Конкурс проводится в 2 этапа:</w:t>
      </w:r>
    </w:p>
    <w:p>
      <w:pPr>
        <w:pStyle w:val="Style17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 этап (заочный) – </w:t>
      </w:r>
      <w:r>
        <w:rPr>
          <w:color w:val="000000"/>
          <w:sz w:val="26"/>
          <w:szCs w:val="26"/>
        </w:rPr>
        <w:t xml:space="preserve">конкурс «Праздник детской игры» </w:t>
      </w:r>
      <w:r>
        <w:rPr>
          <w:bCs/>
          <w:sz w:val="26"/>
          <w:szCs w:val="26"/>
        </w:rPr>
        <w:t xml:space="preserve">проходит в городах и районах края по филиалам МФКЦ. Лучшая программа (одна от территории) может принять участие во 2 этапе конкурса.  </w:t>
      </w:r>
    </w:p>
    <w:p>
      <w:pPr>
        <w:pStyle w:val="Style17"/>
        <w:ind w:firstLine="708"/>
        <w:jc w:val="both"/>
        <w:rPr/>
      </w:pPr>
      <w:r>
        <w:rPr>
          <w:color w:val="000000"/>
          <w:sz w:val="26"/>
          <w:szCs w:val="26"/>
        </w:rPr>
        <w:t xml:space="preserve">2 этап (краевой) – конкурс проводится </w:t>
      </w:r>
      <w:r>
        <w:rPr>
          <w:b/>
          <w:bCs/>
          <w:color w:val="000000"/>
          <w:sz w:val="26"/>
          <w:szCs w:val="26"/>
        </w:rPr>
        <w:t>18-19 мая 2019 года</w:t>
      </w:r>
      <w:r>
        <w:rPr>
          <w:color w:val="000000"/>
          <w:sz w:val="26"/>
          <w:szCs w:val="26"/>
        </w:rPr>
        <w:t xml:space="preserve"> в городе Барнауле в КАУ «Алтайский государственный Дом народного творчества». Для участия в нём необходимо </w:t>
      </w:r>
      <w:r>
        <w:rPr>
          <w:b/>
          <w:bCs/>
          <w:sz w:val="26"/>
          <w:szCs w:val="26"/>
        </w:rPr>
        <w:t>до 25 апреля 2019 года</w:t>
      </w:r>
      <w:r>
        <w:rPr>
          <w:bCs/>
          <w:sz w:val="26"/>
          <w:szCs w:val="26"/>
        </w:rPr>
        <w:t xml:space="preserve"> подать </w:t>
      </w:r>
      <w:r>
        <w:rPr>
          <w:sz w:val="26"/>
          <w:szCs w:val="26"/>
        </w:rPr>
        <w:t>заявку с предоставлением литературного сценария программы.</w:t>
      </w:r>
    </w:p>
    <w:p>
      <w:pPr>
        <w:pStyle w:val="Style17"/>
        <w:ind w:firstLine="708"/>
        <w:jc w:val="both"/>
        <w:rPr>
          <w:rStyle w:val="Style13"/>
          <w:b w:val="false"/>
          <w:b w:val="false"/>
          <w:bCs w:val="false"/>
          <w:color w:val="000000"/>
          <w:szCs w:val="28"/>
        </w:rPr>
      </w:pPr>
      <w:r>
        <w:rPr/>
      </w:r>
    </w:p>
    <w:p>
      <w:pPr>
        <w:pStyle w:val="Style17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ascii="Times New Roman" w:hAnsi="Times New Roman"/>
          <w:b/>
          <w:sz w:val="28"/>
          <w:szCs w:val="28"/>
        </w:rPr>
        <w:t>Для участия в конкурсе необходимо направить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заявку в срок </w:t>
      </w:r>
      <w:r>
        <w:rPr>
          <w:rFonts w:ascii="Times New Roman" w:hAnsi="Times New Roman"/>
          <w:b/>
          <w:bCs/>
          <w:sz w:val="28"/>
          <w:szCs w:val="28"/>
        </w:rPr>
        <w:t>до 25 апреля</w:t>
      </w:r>
      <w:r>
        <w:rPr>
          <w:rFonts w:ascii="Times New Roman" w:hAnsi="Times New Roman"/>
          <w:sz w:val="28"/>
          <w:szCs w:val="28"/>
        </w:rPr>
        <w:t xml:space="preserve"> согласно предлагаемой форме </w:t>
      </w:r>
      <w:r>
        <w:rPr>
          <w:rFonts w:ascii="Times New Roman" w:hAnsi="Times New Roman"/>
          <w:i/>
          <w:sz w:val="28"/>
          <w:szCs w:val="28"/>
        </w:rPr>
        <w:t>(Приложение 1</w:t>
      </w:r>
      <w:r>
        <w:rPr>
          <w:rFonts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сценарий конкурсной программы (</w:t>
      </w:r>
      <w:r>
        <w:rPr>
          <w:rFonts w:ascii="Times New Roman" w:hAnsi="Times New Roman"/>
          <w:i/>
          <w:color w:val="000000"/>
          <w:sz w:val="28"/>
          <w:szCs w:val="28"/>
        </w:rPr>
        <w:t>электронный вариант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 конкурсе иметь при себе печатный экземпляр сценария.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jc w:val="center"/>
        <w:rPr/>
      </w:pPr>
      <w:r>
        <w:rPr>
          <w:b/>
          <w:bCs/>
          <w:szCs w:val="28"/>
        </w:rPr>
        <w:t>Критерии оценки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59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художественно-эстетический  уровень программы; 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оригинальность, новизна авторских идей и драматургического хода;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и музыкальное оформление программы;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исполнительский уровень, культура речи, артистизм ведущего программы, умение владеть  аудиторией (контакт со зрителями);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 оригинальность изготовленного реквизита, костюма.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Финансовые условия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Организационный взнос за участие в конкурсе – 1000 рублей. Оплата производится по безналичному расчёту </w:t>
      </w:r>
      <w:r>
        <w:rPr>
          <w:rFonts w:ascii="Times New Roman" w:hAnsi="Times New Roman"/>
          <w:b/>
          <w:sz w:val="28"/>
          <w:szCs w:val="28"/>
        </w:rPr>
        <w:t>до 8 мая 2019 г.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Для перечисления взносов по безналичному расчёту необходимо выписать счёт-фактуру в бухгалтерии КАУ АГДНТ по адресу: г. Барнаул,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ул.  Крупской, 97, тел. 62-80-53 (электронная почта: </w:t>
      </w:r>
      <w:hyperlink r:id="rId3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buh</w:t>
        </w:r>
        <w:r>
          <w:rPr>
            <w:rStyle w:val="Style14"/>
            <w:rFonts w:ascii="Times New Roman" w:hAnsi="Times New Roman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dom</w:t>
        </w:r>
        <w:r>
          <w:rPr>
            <w:rStyle w:val="Style14"/>
            <w:rFonts w:ascii="Times New Roman" w:hAnsi="Times New Roman"/>
            <w:sz w:val="28"/>
            <w:szCs w:val="28"/>
          </w:rPr>
          <w:t>@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4"/>
            <w:rFonts w:ascii="Times New Roman" w:hAnsi="Times New Roman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Командировочные расходы (проезд, проживание и питание) — за счёт направляющей организации.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Взносы пойдут на формирование призового фонда конкурса, изготовление печатной продукции, оплату работы экспертов, ГСМ.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7"/>
        <w:jc w:val="center"/>
        <w:rPr/>
      </w:pPr>
      <w:r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>Награды и призы конкурса</w:t>
      </w:r>
    </w:p>
    <w:p>
      <w:pPr>
        <w:pStyle w:val="Style17"/>
        <w:ind w:firstLine="708"/>
        <w:jc w:val="both"/>
        <w:rPr/>
      </w:pPr>
      <w:r>
        <w:rPr>
          <w:szCs w:val="28"/>
        </w:rPr>
        <w:t xml:space="preserve">Участники программы награждаются  грамотами, победители –  дипломами и памятными подарками. Также оргкомитет предусматривает награждение специальными призами и  дипломами. </w:t>
      </w:r>
    </w:p>
    <w:p>
      <w:pPr>
        <w:pStyle w:val="Style17"/>
        <w:jc w:val="both"/>
        <w:rPr/>
      </w:pPr>
      <w:r>
        <w:rPr>
          <w:szCs w:val="28"/>
        </w:rPr>
        <w:tab/>
        <w:t xml:space="preserve">Приём заявок осуществляет КАУ АГДНТ по электронной почте   </w:t>
      </w:r>
      <w:hyperlink r:id="rId4">
        <w:r>
          <w:rPr>
            <w:rStyle w:val="Style14"/>
            <w:szCs w:val="28"/>
            <w:lang w:val="en-US"/>
          </w:rPr>
          <w:t>dosugcntd</w:t>
        </w:r>
        <w:r>
          <w:rPr>
            <w:rStyle w:val="Style14"/>
            <w:szCs w:val="28"/>
          </w:rPr>
          <w:t>@</w:t>
        </w:r>
        <w:r>
          <w:rPr>
            <w:rStyle w:val="Style14"/>
            <w:szCs w:val="28"/>
            <w:lang w:val="en-US"/>
          </w:rPr>
          <w:t>mail</w:t>
        </w:r>
        <w:r>
          <w:rPr>
            <w:rStyle w:val="Style14"/>
            <w:szCs w:val="28"/>
          </w:rPr>
          <w:t>.</w:t>
        </w:r>
        <w:r>
          <w:rPr>
            <w:rStyle w:val="Style14"/>
            <w:szCs w:val="28"/>
            <w:lang w:val="en-US"/>
          </w:rPr>
          <w:t>ru</w:t>
        </w:r>
      </w:hyperlink>
      <w:r>
        <w:rPr>
          <w:color w:val="000000"/>
          <w:szCs w:val="28"/>
        </w:rPr>
        <w:t>. (с пометкой в поле «тема»: конкурс «Праздник детской игры»)</w:t>
      </w:r>
      <w:r>
        <w:rPr>
          <w:b/>
          <w:bCs/>
          <w:szCs w:val="28"/>
        </w:rPr>
        <w:t xml:space="preserve"> до 25 апреля 2019 года</w:t>
      </w:r>
      <w:r>
        <w:rPr>
          <w:szCs w:val="28"/>
        </w:rPr>
        <w:t xml:space="preserve"> включительно.</w:t>
      </w:r>
    </w:p>
    <w:p>
      <w:pPr>
        <w:pStyle w:val="Style1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    </w:t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3"/>
        <w:rPr>
          <w:b/>
          <w:b/>
          <w:bCs/>
        </w:rPr>
      </w:pPr>
      <w:r>
        <w:rPr/>
      </w:r>
    </w:p>
    <w:p>
      <w:pPr>
        <w:pStyle w:val="3"/>
        <w:rPr/>
      </w:pPr>
      <w:r>
        <w:rPr>
          <w:b/>
          <w:bCs/>
        </w:rPr>
        <w:t xml:space="preserve">Заявка  </w:t>
      </w:r>
    </w:p>
    <w:p>
      <w:pPr>
        <w:pStyle w:val="Style26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краевом  конкурсе развлекательно-игровых программ</w:t>
      </w:r>
    </w:p>
    <w:p>
      <w:pPr>
        <w:pStyle w:val="Style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и подростков  «Праздник детской игры»</w:t>
      </w:r>
    </w:p>
    <w:p>
      <w:pPr>
        <w:pStyle w:val="Style2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Район, село, город 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Название программы 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Ф. И.О. ведущего программы__________________________________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Контактный телефон, адрес электронной почты ___________________</w:t>
        <w:br/>
        <w:t>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Место работы, должность 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Образование: общее, специальное (что, когда закончил)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 Стаж работы по специальности________________________________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 Используемые технические средства (реквизит, костюм, микрофон, фонограмма и др.) 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right"/>
        <w:rPr>
          <w:szCs w:val="28"/>
        </w:rPr>
      </w:pPr>
      <w:r>
        <w:rPr/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</w:p>
    <w:p>
      <w:pPr>
        <w:pStyle w:val="Style17"/>
        <w:rPr/>
      </w:pPr>
      <w:r>
        <w:rPr/>
      </w:r>
    </w:p>
    <w:sectPr>
      <w:headerReference w:type="default" r:id="rId5"/>
      <w:type w:val="nextPage"/>
      <w:pgSz w:w="11906" w:h="16838"/>
      <w:pgMar w:left="1701" w:right="850" w:header="708" w:top="851" w:footer="0" w:bottom="4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913687"/>
    <w:pPr>
      <w:keepNext w:val="true"/>
      <w:tabs>
        <w:tab w:val="clear" w:pos="708"/>
        <w:tab w:val="left" w:pos="570" w:leader="none"/>
      </w:tabs>
      <w:spacing w:lineRule="auto" w:line="240" w:before="0" w:after="0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widowControl w:val="false"/>
      <w:spacing w:lineRule="auto" w:line="240" w:before="0" w:after="0"/>
      <w:ind w:firstLine="709"/>
      <w:jc w:val="center"/>
      <w:outlineLvl w:val="3"/>
    </w:pPr>
    <w:rPr>
      <w:rFonts w:ascii="Times New Roman" w:hAnsi="Times New Roman"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qFormat/>
    <w:rPr>
      <w:lang w:eastAsia="en-US"/>
    </w:rPr>
  </w:style>
  <w:style w:type="character" w:styleId="Style11" w:customStyle="1">
    <w:name w:val="Нижний колонтитул Знак"/>
    <w:qFormat/>
    <w:rPr>
      <w:lang w:eastAsia="en-US"/>
    </w:rPr>
  </w:style>
  <w:style w:type="character" w:styleId="Style12" w:customStyle="1">
    <w:name w:val="Основной текст Знак"/>
    <w:qFormat/>
    <w:rPr>
      <w:rFonts w:cs="Times New Roman"/>
      <w:sz w:val="28"/>
      <w:lang w:val="ru-RU" w:eastAsia="ru-RU" w:bidi="ar-SA"/>
    </w:rPr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Интернет-ссылка"/>
    <w:rPr>
      <w:color w:val="000080"/>
      <w:u w:val="single"/>
    </w:rPr>
  </w:style>
  <w:style w:type="character" w:styleId="WW8Num1z0" w:customStyle="1">
    <w:name w:val="WW8Num1z0"/>
    <w:qFormat/>
    <w:rPr>
      <w:rFonts w:ascii="Symbol" w:hAnsi="Symbol" w:cs="Symbol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13687"/>
    <w:rPr>
      <w:rFonts w:ascii="Times New Roman" w:hAnsi="Times New Roman"/>
      <w:sz w:val="28"/>
      <w:szCs w:val="28"/>
      <w:lang w:eastAsia="en-US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bf51e0"/>
    <w:rPr>
      <w:rFonts w:ascii="Times New Roman" w:hAnsi="Times New Roman"/>
      <w:bCs/>
      <w:sz w:val="22"/>
      <w:szCs w:val="22"/>
      <w:lang w:eastAsia="en-US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ac7b55"/>
    <w:rPr>
      <w:rFonts w:ascii="Times New Roman" w:hAnsi="Times New Roman"/>
      <w:b/>
      <w:bCs/>
      <w:sz w:val="28"/>
      <w:szCs w:val="28"/>
      <w:lang w:eastAsia="en-US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40" w:before="0" w:after="0"/>
    </w:pPr>
    <w:rPr>
      <w:rFonts w:ascii="Times New Roman" w:hAnsi="Times New Roman"/>
      <w:sz w:val="28"/>
      <w:szCs w:val="20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qFormat/>
    <w:pPr>
      <w:spacing w:lineRule="auto" w:line="240" w:before="0" w:after="0"/>
    </w:pPr>
    <w:rPr>
      <w:rFonts w:eastAsia="Times New Roman"/>
      <w:sz w:val="24"/>
      <w:szCs w:val="32"/>
      <w:lang w:val="en-US"/>
    </w:rPr>
  </w:style>
  <w:style w:type="paragraph" w:styleId="Pcont" w:customStyle="1">
    <w:name w:val="pcont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211" w:customStyle="1">
    <w:name w:val="Основной текст 2 Знак1"/>
    <w:basedOn w:val="Normal"/>
    <w:link w:val="22"/>
    <w:qFormat/>
    <w:pPr>
      <w:widowControl w:val="false"/>
      <w:shd w:val="clear" w:color="auto" w:fill="FFFFFF"/>
      <w:spacing w:lineRule="exact" w:line="365" w:before="0" w:after="0"/>
      <w:jc w:val="right"/>
    </w:pPr>
    <w:rPr>
      <w:rFonts w:ascii="Times New Roman" w:hAnsi="Times New Roman" w:eastAsia="Times New Roman"/>
    </w:rPr>
  </w:style>
  <w:style w:type="paragraph" w:styleId="Style26">
    <w:name w:val="Body Text Indent"/>
    <w:basedOn w:val="Normal"/>
    <w:uiPriority w:val="99"/>
    <w:unhideWhenUsed/>
    <w:rsid w:val="00bf51e0"/>
    <w:pPr>
      <w:spacing w:lineRule="auto" w:line="240" w:before="0" w:after="0"/>
      <w:ind w:firstLine="708"/>
    </w:pPr>
    <w:rPr>
      <w:rFonts w:ascii="Times New Roman" w:hAnsi="Times New Roman"/>
      <w:bCs/>
    </w:rPr>
  </w:style>
  <w:style w:type="paragraph" w:styleId="BodyText2">
    <w:name w:val="Body Text 2"/>
    <w:basedOn w:val="Normal"/>
    <w:link w:val="21"/>
    <w:uiPriority w:val="99"/>
    <w:unhideWhenUsed/>
    <w:qFormat/>
    <w:rsid w:val="00ac7b55"/>
    <w:pPr>
      <w:tabs>
        <w:tab w:val="clear" w:pos="708"/>
        <w:tab w:val="left" w:pos="570" w:leader="none"/>
      </w:tabs>
      <w:spacing w:lineRule="auto" w:line="240" w:before="0" w:after="0"/>
    </w:pPr>
    <w:rPr>
      <w:rFonts w:ascii="Times New Roman" w:hAnsi="Times New Roman"/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uh.dom@mail.ru" TargetMode="External"/><Relationship Id="rId4" Type="http://schemas.openxmlformats.org/officeDocument/2006/relationships/hyperlink" Target="mailto:dosugcntd@mail.ru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Application>LibreOffice/6.3.0.4$Windows_X86_64 LibreOffice_project/057fc023c990d676a43019934386b85b21a9ee99</Application>
  <Pages>3</Pages>
  <Words>545</Words>
  <Characters>4341</Characters>
  <CharactersWithSpaces>5362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2016-10-12T08:07:00Z</dcterms:created>
  <dc:creator>Galina</dc:creator>
  <dc:description/>
  <dc:language>ru-RU</dc:language>
  <cp:lastModifiedBy/>
  <cp:lastPrinted>2019-04-01T16:22:46Z</cp:lastPrinted>
  <dcterms:modified xsi:type="dcterms:W3CDTF">2019-12-18T17:01:57Z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