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>
      <w:pPr>
        <w:pStyle w:val="Normal"/>
        <w:jc w:val="right"/>
        <w:rPr/>
      </w:pPr>
      <w:r>
        <w:rPr/>
        <w:t>Директор КАУ АГДНТ</w:t>
      </w:r>
    </w:p>
    <w:tbl>
      <w:tblPr>
        <w:tblW w:w="3509" w:type="dxa"/>
        <w:jc w:val="left"/>
        <w:tblInd w:w="581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9"/>
      </w:tblGrid>
      <w:tr>
        <w:trPr/>
        <w:tc>
          <w:tcPr>
            <w:tcW w:w="350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drawing>
                <wp:inline distT="0" distB="0" distL="0" distR="0">
                  <wp:extent cx="885825" cy="257175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81" t="-279" r="-81" b="-2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>
              <w:rPr>
                <w:rFonts w:eastAsia="Calibri"/>
                <w:sz w:val="28"/>
                <w:szCs w:val="28"/>
              </w:rPr>
              <w:t>Е.В. Карпова</w:t>
            </w:r>
          </w:p>
        </w:tc>
      </w:tr>
    </w:tbl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</w:rPr>
        <w:t xml:space="preserve"> февраля 201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 xml:space="preserve"> г.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краевом конкурсе агитационно-художественных 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бригад </w:t>
      </w:r>
      <w:r>
        <w:rPr>
          <w:b/>
          <w:sz w:val="28"/>
          <w:szCs w:val="28"/>
        </w:rPr>
        <w:t>«Мы – молодые хозяева земли»</w:t>
      </w:r>
      <w:r>
        <w:rPr>
          <w:sz w:val="28"/>
          <w:szCs w:val="28"/>
        </w:rPr>
        <w:t>, посвящён</w:t>
      </w:r>
      <w:r>
        <w:rPr>
          <w:sz w:val="28"/>
          <w:szCs w:val="28"/>
          <w:lang w:val="ru-RU"/>
        </w:rPr>
        <w:t>ном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65-летию </w:t>
      </w:r>
      <w:r>
        <w:rPr>
          <w:sz w:val="28"/>
          <w:szCs w:val="28"/>
        </w:rPr>
        <w:t xml:space="preserve">начала </w:t>
      </w:r>
      <w:r>
        <w:rPr>
          <w:sz w:val="28"/>
          <w:szCs w:val="28"/>
        </w:rPr>
        <w:t>освоения целинных и залежных земель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Краевое автономное учреждение «Алтайский государственный Дом народного творчества» Министерства культуры Алтайского края в рамках реализации краевого проекта «Земля целинная» в апреле – мае 2019 года проводит краевой конкурс агитационно-художественных бригад                     «Мы – молодые хозяева земли», посвящённый 65-летию освоения целинных и залежных земель. 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Конкурс проводится с целью повышения качества культурного обслуживания тружеников сельскохозяйственных предприятий, активизации работы культурно-досуговых учреждений по организации и проведению праздничных мероприятий: юбилеев предприятий, целинных поселков, чествований первоцелинников, передовиков сельского хозяйства, династий тружеников села. </w:t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и условия проведения конкурса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территориальным зонам: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12 апреля – Топчихинский район;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 апреля -   Троицкий район;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 мая – Табунский район.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К участию в конкурсе агитационно-художественных бригад «Мы –  молодые хозяева земли» приглашаются агитбригады (творческие коллективы) межпоселенческого (районного), городского Дома культуры; при отсутствии межпоселенческого учреждения культуры район может быть представлен сборной  агитбригадой, состоящей  из  работников учреждений культуры и активных участников художественной самодеятельности. Количество участников агитбригады – не более                         7 человек (группа технического обеспечения в число участников не входит).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Агитбригада представляет программу продолжительностью не более 20 минут, ярко и образно раскрывающую тему конкурса. В выступлении необходимо отобразить историческое развитие Алтая как ведущей житницы страны, на примере преемственности поколений рассказать о трудовых буднях работников сельского хозяйства, привлечь внимание к перспективам жизни и работы в сельской местности, к повышению престижности аграрных профессий. Желательно представить различные виды творчества — разговорный жанр, песни, частушки, стихи, интермедии, сценки, танцевальные композиции. Обязательное условие – использование в программе средств наглядной агитации: плакатов, растяжек, декораций, а также предметов атрибутики, музыкального сопровождения.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оценки выступления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актуальность, содержательность программы;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нестандартность мышления, остроумие;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динамичность действия;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зрелищность,  разнообразие используемых средств выразительности;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музыкальное и световое оформление; 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костюмы участников.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оценивается по 7-балльной шкале. В случае набора участниками одинакового количества баллов организаторы оставляют за собой право ввести в программу выступления дополнительный конкурс.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/>
      </w:pPr>
      <w:r>
        <w:rPr>
          <w:rStyle w:val="11"/>
          <w:rFonts w:eastAsia="Calibri"/>
          <w:b/>
          <w:bCs/>
          <w:sz w:val="28"/>
          <w:szCs w:val="28"/>
        </w:rPr>
        <w:t>Награждение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720"/>
        <w:jc w:val="both"/>
        <w:rPr/>
      </w:pPr>
      <w:r>
        <w:rPr>
          <w:rStyle w:val="11"/>
          <w:sz w:val="28"/>
          <w:szCs w:val="28"/>
        </w:rPr>
        <w:t>Агитбригады (т</w:t>
      </w:r>
      <w:r>
        <w:rPr>
          <w:rStyle w:val="11"/>
          <w:rFonts w:eastAsia="Calibri"/>
          <w:sz w:val="28"/>
          <w:szCs w:val="28"/>
        </w:rPr>
        <w:t>ворческие коллективы), получившие максимальное количество баллов,</w:t>
      </w:r>
      <w:r>
        <w:rPr>
          <w:rStyle w:val="11"/>
          <w:sz w:val="28"/>
          <w:szCs w:val="28"/>
        </w:rPr>
        <w:t xml:space="preserve"> </w:t>
      </w:r>
      <w:r>
        <w:rPr>
          <w:rStyle w:val="11"/>
          <w:rFonts w:eastAsia="Calibri"/>
          <w:sz w:val="28"/>
          <w:szCs w:val="28"/>
        </w:rPr>
        <w:t xml:space="preserve">становятся участниками межрегионального фестиваля агитационно-художественных бригад </w:t>
      </w:r>
      <w:r>
        <w:rPr>
          <w:rStyle w:val="11"/>
          <w:rFonts w:eastAsia="Calibri"/>
          <w:b/>
          <w:bCs/>
          <w:sz w:val="28"/>
          <w:szCs w:val="28"/>
        </w:rPr>
        <w:t>«Целина продолжается в нас»,</w:t>
      </w:r>
      <w:r>
        <w:rPr>
          <w:rStyle w:val="11"/>
          <w:rFonts w:eastAsia="Calibri"/>
          <w:sz w:val="28"/>
          <w:szCs w:val="28"/>
        </w:rPr>
        <w:t xml:space="preserve"> посвящённого 65-летию освоения целинных и залежных земель, который пройдёт с 16 по 19 июня 2019 года в Романовском районе. </w:t>
      </w:r>
    </w:p>
    <w:p>
      <w:pPr>
        <w:pStyle w:val="Normal"/>
        <w:ind w:firstLine="720"/>
        <w:jc w:val="both"/>
        <w:rPr/>
      </w:pPr>
      <w:r>
        <w:rPr>
          <w:rStyle w:val="11"/>
          <w:rFonts w:eastAsia="Calibri"/>
          <w:sz w:val="28"/>
          <w:szCs w:val="28"/>
        </w:rPr>
        <w:t xml:space="preserve">Участники  конкурса награждаются специальными дипломами: </w:t>
      </w:r>
    </w:p>
    <w:p>
      <w:pPr>
        <w:pStyle w:val="Normal"/>
        <w:ind w:firstLine="720"/>
        <w:jc w:val="both"/>
        <w:rPr/>
      </w:pPr>
      <w:r>
        <w:rPr>
          <w:rStyle w:val="11"/>
          <w:rFonts w:eastAsia="Calibri"/>
          <w:sz w:val="28"/>
          <w:szCs w:val="28"/>
        </w:rPr>
        <w:t xml:space="preserve">«За яркую и содержательную наглядную агитацию»; </w:t>
      </w:r>
    </w:p>
    <w:p>
      <w:pPr>
        <w:pStyle w:val="Normal"/>
        <w:ind w:firstLine="720"/>
        <w:jc w:val="both"/>
        <w:rPr/>
      </w:pPr>
      <w:r>
        <w:rPr>
          <w:rStyle w:val="11"/>
          <w:rFonts w:eastAsia="Calibri"/>
          <w:sz w:val="28"/>
          <w:szCs w:val="28"/>
        </w:rPr>
        <w:t>«За яркое сценическое воплощение темы конкурса»;</w:t>
      </w:r>
    </w:p>
    <w:p>
      <w:pPr>
        <w:pStyle w:val="Normal"/>
        <w:ind w:firstLine="720"/>
        <w:jc w:val="both"/>
        <w:rPr/>
      </w:pPr>
      <w:r>
        <w:rPr>
          <w:rStyle w:val="11"/>
          <w:rFonts w:eastAsia="Calibri"/>
          <w:sz w:val="28"/>
          <w:szCs w:val="28"/>
        </w:rPr>
        <w:t>«За оригинальный сценарный ход»;</w:t>
      </w:r>
    </w:p>
    <w:p>
      <w:pPr>
        <w:pStyle w:val="Normal"/>
        <w:ind w:firstLine="720"/>
        <w:jc w:val="both"/>
        <w:rPr/>
      </w:pPr>
      <w:r>
        <w:rPr>
          <w:rStyle w:val="11"/>
          <w:rFonts w:eastAsia="Calibri"/>
          <w:sz w:val="28"/>
          <w:szCs w:val="28"/>
        </w:rPr>
        <w:t>«За интересные режиссёрские находки»;</w:t>
      </w:r>
    </w:p>
    <w:p>
      <w:pPr>
        <w:pStyle w:val="Normal"/>
        <w:ind w:firstLine="720"/>
        <w:jc w:val="both"/>
        <w:rPr/>
      </w:pPr>
      <w:r>
        <w:rPr>
          <w:rStyle w:val="11"/>
          <w:rFonts w:eastAsia="Calibri"/>
          <w:sz w:val="28"/>
          <w:szCs w:val="28"/>
        </w:rPr>
        <w:t xml:space="preserve">«За зрелищность выступления». </w:t>
      </w:r>
    </w:p>
    <w:p>
      <w:pPr>
        <w:pStyle w:val="Normal"/>
        <w:ind w:firstLine="720"/>
        <w:jc w:val="both"/>
        <w:rPr/>
      </w:pPr>
      <w:r>
        <w:rPr>
          <w:rStyle w:val="11"/>
          <w:rFonts w:eastAsia="Calibri"/>
          <w:sz w:val="28"/>
          <w:szCs w:val="28"/>
        </w:rPr>
        <w:t>Творческие коллективы, участники краевого конкурса будут награждены благодарственными письмами.</w:t>
      </w:r>
    </w:p>
    <w:p>
      <w:pPr>
        <w:pStyle w:val="Normal"/>
        <w:ind w:firstLine="720"/>
        <w:jc w:val="both"/>
        <w:rPr/>
      </w:pPr>
      <w:r>
        <w:rPr>
          <w:rStyle w:val="11"/>
          <w:rFonts w:eastAsia="Calibri"/>
          <w:sz w:val="28"/>
          <w:szCs w:val="28"/>
        </w:rPr>
        <w:t>Результаты участия в конкурсе будут учтены при подведении итогов реализации проекта «Земля целинная».</w:t>
      </w:r>
    </w:p>
    <w:p>
      <w:pPr>
        <w:pStyle w:val="Normal"/>
        <w:ind w:firstLine="720"/>
        <w:jc w:val="both"/>
        <w:rPr/>
      </w:pPr>
      <w:r>
        <w:rPr>
          <w:rStyle w:val="11"/>
          <w:rFonts w:eastAsia="Calibri"/>
          <w:sz w:val="28"/>
          <w:szCs w:val="28"/>
        </w:rPr>
        <w:t>Командировочные расходы (проезд, питание участников) за счет направляющей стороны.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Заявки (Приложение № 1) принимаются по электронной почте: </w:t>
      </w:r>
      <w:hyperlink r:id="rId3">
        <w:r>
          <w:rPr>
            <w:rStyle w:val="Style17"/>
            <w:sz w:val="28"/>
            <w:szCs w:val="28"/>
            <w:lang w:val="en-US"/>
          </w:rPr>
          <w:t>mancntd</w:t>
        </w:r>
        <w:r>
          <w:rPr>
            <w:rStyle w:val="Style17"/>
            <w:sz w:val="28"/>
            <w:szCs w:val="28"/>
            <w:lang w:val="ru-RU"/>
          </w:rPr>
          <w:t>@</w:t>
        </w:r>
        <w:r>
          <w:rPr>
            <w:rStyle w:val="Style17"/>
            <w:sz w:val="28"/>
            <w:szCs w:val="28"/>
            <w:lang w:val="en-US"/>
          </w:rPr>
          <w:t>meil</w:t>
        </w:r>
        <w:r>
          <w:rPr>
            <w:rStyle w:val="Style17"/>
            <w:sz w:val="28"/>
            <w:szCs w:val="28"/>
            <w:lang w:val="ru-RU"/>
          </w:rPr>
          <w:t>.</w:t>
        </w:r>
        <w:r>
          <w:rPr>
            <w:rStyle w:val="Style17"/>
            <w:sz w:val="28"/>
            <w:szCs w:val="28"/>
            <w:lang w:val="en-US"/>
          </w:rPr>
          <w:t>ru</w:t>
        </w:r>
      </w:hyperlink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Справки по тел. 8 (385 2) 63-48-18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Артеменко Вера Владимировна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Сысоев Евгений Викторович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Приложение №1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lineRule="auto" w:line="2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>
      <w:pPr>
        <w:pStyle w:val="Style19"/>
        <w:spacing w:lineRule="auto" w:line="240"/>
        <w:jc w:val="center"/>
        <w:rPr/>
      </w:pPr>
      <w:r>
        <w:rPr/>
      </w:r>
    </w:p>
    <w:p>
      <w:pPr>
        <w:pStyle w:val="Style19"/>
        <w:spacing w:lineRule="auto" w:line="2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краевом конкурсе агитационно-художественных </w:t>
      </w:r>
    </w:p>
    <w:p>
      <w:pPr>
        <w:pStyle w:val="Style19"/>
        <w:spacing w:lineRule="auto" w:line="2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бригад «Мы – молодые хозяева земли», посвящённом</w:t>
      </w:r>
    </w:p>
    <w:p>
      <w:pPr>
        <w:pStyle w:val="Style19"/>
        <w:spacing w:lineRule="auto" w:line="2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65-летию освоения целинных и залежных земель</w:t>
      </w:r>
    </w:p>
    <w:p>
      <w:pPr>
        <w:pStyle w:val="Style19"/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  <w:t>1.Территория______________________________________________________</w:t>
      </w:r>
    </w:p>
    <w:p>
      <w:pPr>
        <w:pStyle w:val="Style19"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2.Полное наименование учреждения  культуры (по Уставу)______________  </w:t>
      </w:r>
    </w:p>
    <w:p>
      <w:pPr>
        <w:pStyle w:val="Style19"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>
      <w:pPr>
        <w:pStyle w:val="Style19"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  <w:t>3.Название программы (выступления)_________________________________ _________________________________________________________________</w:t>
      </w:r>
    </w:p>
    <w:p>
      <w:pPr>
        <w:pStyle w:val="Style19"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  <w:t>4.Ф.И.О. руководителя учреждения, контактные данные________________</w:t>
      </w:r>
    </w:p>
    <w:p>
      <w:pPr>
        <w:pStyle w:val="Style19"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>
      <w:pPr>
        <w:pStyle w:val="Style19"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5. Ф.И.О., должность руководителя (режиссера) программы, контактные данные__________________________________________________________</w:t>
      </w:r>
    </w:p>
    <w:p>
      <w:pPr>
        <w:pStyle w:val="Style19"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>
      <w:pPr>
        <w:pStyle w:val="Style19"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  <w:t>6.Ф.И.О. автора сценария программы, контактные данные________________</w:t>
      </w:r>
    </w:p>
    <w:p>
      <w:pPr>
        <w:pStyle w:val="Style19"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>
      <w:pPr>
        <w:pStyle w:val="Style19"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  <w:t>7.Техническое обеспечение, необходимое для показа программы_________</w:t>
      </w:r>
    </w:p>
    <w:p>
      <w:pPr>
        <w:pStyle w:val="Style19"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>
      <w:pPr>
        <w:pStyle w:val="Style19"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  <w:t>8.Подпись руководителя учреждения_________________________________</w:t>
      </w:r>
    </w:p>
    <w:p>
      <w:pPr>
        <w:pStyle w:val="Style19"/>
        <w:spacing w:lineRule="auto" w:line="240"/>
        <w:jc w:val="left"/>
        <w:rPr/>
      </w:pPr>
      <w:r>
        <w:rPr>
          <w:sz w:val="28"/>
          <w:szCs w:val="28"/>
        </w:rPr>
        <w:t>_________________________________________________________________</w:t>
      </w:r>
    </w:p>
    <w:sectPr>
      <w:footerReference w:type="default" r:id="rId4"/>
      <w:type w:val="nextPage"/>
      <w:pgSz w:w="11906" w:h="16838"/>
      <w:pgMar w:left="1560" w:right="1133" w:header="0" w:top="993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page">
                <wp:posOffset>6840855</wp:posOffset>
              </wp:positionH>
              <wp:positionV relativeFrom="paragraph">
                <wp:posOffset>635</wp:posOffset>
              </wp:positionV>
              <wp:extent cx="55880" cy="138430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80" cy="137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/>
                          </w:pPr>
                          <w:r>
                            <w:rPr>
                              <w:rStyle w:val="Style15"/>
                              <w:color w:val="auto"/>
                            </w:rPr>
                            <w:fldChar w:fldCharType="begin"/>
                          </w:r>
                          <w:r>
                            <w:rPr>
                              <w:rStyle w:val="Style15"/>
                            </w:rPr>
                            <w:instrText> PAGE </w:instrText>
                          </w:r>
                          <w:r>
                            <w:rPr>
                              <w:rStyle w:val="Style15"/>
                            </w:rPr>
                            <w:fldChar w:fldCharType="separate"/>
                          </w:r>
                          <w:r>
                            <w:rPr>
                              <w:rStyle w:val="Style15"/>
                            </w:rPr>
                            <w:t>3</w:t>
                          </w:r>
                          <w:r>
                            <w:rPr>
                              <w:rStyle w:val="Style15"/>
                            </w:rPr>
                            <w:fldChar w:fldCharType="end"/>
                          </w:r>
                        </w:p>
                      </w:txbxContent>
                    </wps:txbx>
                    <wps:bodyPr lIns="9000" rIns="9000" tIns="9000" bIns="9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fillcolor="white" stroked="f" style="position:absolute;margin-left:538.65pt;margin-top:0.05pt;width:4.3pt;height:10.8pt;mso-position-horizontal-relative:page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rPr/>
                    </w:pPr>
                    <w:r>
                      <w:rPr>
                        <w:rStyle w:val="Style15"/>
                        <w:color w:val="auto"/>
                      </w:rPr>
                      <w:fldChar w:fldCharType="begin"/>
                    </w:r>
                    <w:r>
                      <w:rPr>
                        <w:rStyle w:val="Style15"/>
                      </w:rPr>
                      <w:instrText> PAGE </w:instrText>
                    </w:r>
                    <w:r>
                      <w:rPr>
                        <w:rStyle w:val="Style15"/>
                      </w:rPr>
                      <w:fldChar w:fldCharType="separate"/>
                    </w:r>
                    <w:r>
                      <w:rPr>
                        <w:rStyle w:val="Style15"/>
                      </w:rPr>
                      <w:t>3</w:t>
                    </w:r>
                    <w:r>
                      <w:rPr>
                        <w:rStyle w:val="Style15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10"/>
  <w:displayBackgroundShape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2">
    <w:name w:val="Основной шрифт абзаца2"/>
    <w:qFormat/>
    <w:rPr/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1">
    <w:name w:val="Основной шрифт абзаца1"/>
    <w:qFormat/>
    <w:rPr/>
  </w:style>
  <w:style w:type="character" w:styleId="Style15">
    <w:name w:val="Номер страницы"/>
    <w:basedOn w:val="1"/>
    <w:rPr/>
  </w:style>
  <w:style w:type="character" w:styleId="DefaultParagraphFont">
    <w:name w:val="Default Paragraph Font"/>
    <w:qFormat/>
    <w:rPr/>
  </w:style>
  <w:style w:type="character" w:styleId="Style16">
    <w:name w:val="Основной текст_"/>
    <w:qFormat/>
    <w:rPr>
      <w:rFonts w:ascii="Times New Roman" w:hAnsi="Times New Roman" w:eastAsia="Times New Roman" w:cs="Times New Roman"/>
      <w:shd w:fill="FFFFFF" w:val="clear"/>
    </w:rPr>
  </w:style>
  <w:style w:type="character" w:styleId="11">
    <w:name w:val="Основной текст1"/>
    <w:qFormat/>
    <w:rPr>
      <w:rFonts w:ascii="Times New Roman" w:hAnsi="Times New Roman" w:eastAsia="Times New Roman" w:cs="Times New Roman"/>
      <w:color w:val="000000"/>
      <w:spacing w:val="0"/>
      <w:w w:val="100"/>
      <w:sz w:val="24"/>
      <w:szCs w:val="24"/>
      <w:shd w:fill="FFFFFF" w:val="clear"/>
      <w:lang w:val="ru-RU" w:bidi="ru-RU"/>
    </w:rPr>
  </w:style>
  <w:style w:type="character" w:styleId="Style17">
    <w:name w:val="Интернет-ссылка"/>
    <w:rPr>
      <w:color w:val="000080"/>
      <w:u w:val="single"/>
      <w:lang w:val="zxx" w:bidi="zxx"/>
    </w:rPr>
  </w:style>
  <w:style w:type="character" w:styleId="ListLabel1">
    <w:name w:val="ListLabel 1"/>
    <w:qFormat/>
    <w:rPr>
      <w:sz w:val="28"/>
      <w:szCs w:val="28"/>
      <w:lang w:val="en-US"/>
    </w:rPr>
  </w:style>
  <w:style w:type="character" w:styleId="ListLabel2">
    <w:name w:val="ListLabel 2"/>
    <w:qFormat/>
    <w:rPr>
      <w:sz w:val="28"/>
      <w:szCs w:val="28"/>
      <w:lang w:val="ru-RU"/>
    </w:rPr>
  </w:style>
  <w:style w:type="paragraph" w:styleId="Style18">
    <w:name w:val="Заголовок"/>
    <w:basedOn w:val="Normal"/>
    <w:next w:val="Style19"/>
    <w:qFormat/>
    <w:pPr>
      <w:jc w:val="center"/>
    </w:pPr>
    <w:rPr>
      <w:sz w:val="24"/>
    </w:rPr>
  </w:style>
  <w:style w:type="paragraph" w:styleId="Style19">
    <w:name w:val="Body Text"/>
    <w:basedOn w:val="Normal"/>
    <w:pPr>
      <w:spacing w:lineRule="auto" w:line="360"/>
      <w:jc w:val="both"/>
    </w:pPr>
    <w:rPr>
      <w:sz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>
    <w:name w:val="Указатель2"/>
    <w:basedOn w:val="Normal"/>
    <w:qFormat/>
    <w:pPr>
      <w:suppressLineNumbers/>
    </w:pPr>
    <w:rPr>
      <w:rFonts w:cs="Arial"/>
    </w:rPr>
  </w:style>
  <w:style w:type="paragraph" w:styleId="12">
    <w:name w:val="Название объе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Arial"/>
    </w:rPr>
  </w:style>
  <w:style w:type="paragraph" w:styleId="Style24">
    <w:name w:val="Body Text Indent"/>
    <w:basedOn w:val="Normal"/>
    <w:pPr>
      <w:ind w:left="0" w:right="0" w:firstLine="720"/>
      <w:jc w:val="both"/>
    </w:pPr>
    <w:rPr>
      <w:sz w:val="24"/>
    </w:rPr>
  </w:style>
  <w:style w:type="paragraph" w:styleId="211">
    <w:name w:val="Основной текст 21"/>
    <w:basedOn w:val="Normal"/>
    <w:qFormat/>
    <w:pPr>
      <w:jc w:val="both"/>
    </w:pPr>
    <w:rPr/>
  </w:style>
  <w:style w:type="paragraph" w:styleId="Style25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mancntd@meil.ru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LibreOffice/6.2.4.2$Windows_X86_64 LibreOffice_project/2412653d852ce75f65fbfa83fb7e7b669a126d64</Application>
  <Pages>3</Pages>
  <Words>491</Words>
  <Characters>4659</Characters>
  <CharactersWithSpaces>5288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2002-05-24T13:23:00Z</dcterms:created>
  <dc:creator>VOTA NГO А REGIONALIZAЗГO! SIM AO REFORЗO DO MUNICIPALISMO!</dc:creator>
  <dc:description>A REGIONALIZAЗГO Й UM ERRO COLOSSAL!</dc:description>
  <dc:language>ru-RU</dc:language>
  <cp:lastModifiedBy/>
  <cp:lastPrinted>2019-01-29T13:55:00Z</cp:lastPrinted>
  <dcterms:modified xsi:type="dcterms:W3CDTF">2019-08-21T15:50:34Z</dcterms:modified>
  <cp:revision>9</cp:revision>
  <dc:subject>JOГO JARDIM x8?! PORRA! DIA 8 VOTA NГO!</dc:subject>
  <dc:title>Протокол собрания</dc:title>
</cp:coreProperties>
</file>